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2021年度校级重大招标课题指南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1、高校传播国际化提升机制与模式研究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2、高校推行财务、采购、资产一体化全周期管理探究</w:t>
      </w:r>
    </w:p>
    <w:p>
      <w:pPr>
        <w:spacing w:line="360" w:lineRule="auto"/>
        <w:ind w:left="420" w:leftChars="0" w:hanging="420" w:hangingChars="175"/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构建党建统领的高等艺术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院校整体智治体系研究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4、艺术类专业学分制改革路径研究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高等艺术院校数字化改革研究与实践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6、新时期高等艺术院校职称制度改革对策研究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7、中国美术学院毕业生职业发展调查与就业数据分析研究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8、破“五唯”背景下艺术创作学术质量评价体系研究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41B4F"/>
    <w:rsid w:val="10FE43EB"/>
    <w:rsid w:val="164278FF"/>
    <w:rsid w:val="29B8176B"/>
    <w:rsid w:val="2B970C4D"/>
    <w:rsid w:val="2F883232"/>
    <w:rsid w:val="319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2020-09-30T03:18:00Z</dcterms:created>
  <dc:creator>没有齐刘海的小丸子</dc:creator>
  <cp:lastModifiedBy>没有齐刘海的小丸子</cp:lastModifiedBy>
  <cp:lastPrinted>2020-10-13T07:43:00Z</cp:lastPrinted>
  <dcterms:modified xsi:type="dcterms:W3CDTF">2021-07-06T03:12:03Z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