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418"/>
        <w:gridCol w:w="1275"/>
        <w:gridCol w:w="684"/>
        <w:gridCol w:w="450"/>
        <w:gridCol w:w="709"/>
        <w:gridCol w:w="733"/>
        <w:gridCol w:w="1252"/>
        <w:gridCol w:w="1559"/>
        <w:gridCol w:w="583"/>
        <w:gridCol w:w="834"/>
        <w:gridCol w:w="441"/>
        <w:gridCol w:w="746"/>
        <w:gridCol w:w="17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8" w:type="dxa"/>
            <w:gridSpan w:val="1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年9月浙江省哲学社会科学规划课题免鉴定结项公示课题信息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课题名称</w:t>
            </w:r>
          </w:p>
        </w:tc>
        <w:tc>
          <w:tcPr>
            <w:tcW w:w="13750" w:type="dxa"/>
            <w:gridSpan w:val="14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“江南园林”观念的确立与演变研究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课题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立项编号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20NDJC05Z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何晓静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8" w:type="dxa"/>
            <w:gridSpan w:val="1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出版社/发表刊物/单位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出版时间/刊物年期/批示时间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成果是否在研究期间完成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成果内容与课题研究内容的相关性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课题标注情况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围湖幽居——南宋文人的园林栖居与营造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何晓静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新美术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一级期刊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涵盖课题研究的全部内容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试论陆游的园林观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何晓静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同济大学学报·人文社科版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核心期刊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涵盖课题研究的全部内容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试论“自然”的东方设计观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何晓静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美术大观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普通期刊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与课题有一定相关性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有课题标注且为第二标注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宋人园记的传承价值——以《洛阳名园记》为中心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何晓静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创意设计源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普通期刊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涵盖课题研究的全部内容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DllODI3ZWJiNWM0Y2FiOGE0OTJiYTVkZDg5MmQifQ=="/>
  </w:docVars>
  <w:rsids>
    <w:rsidRoot w:val="22D35E65"/>
    <w:rsid w:val="027D67A4"/>
    <w:rsid w:val="22D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2022-09-16T02:24:00Z</dcterms:created>
  <dc:creator>没有齐刘海的小丸子</dc:creator>
  <cp:lastModifiedBy>没有齐刘海的小丸子</cp:lastModifiedBy>
  <dcterms:modified xsi:type="dcterms:W3CDTF">2023-09-28T02:25:06Z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2C5336531F3A43B6833DBED154761B5D_13</vt:lpwstr>
  </property>
</Properties>
</file>