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年度校级重大招标课题指南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高校垃圾分类系统研发与绿色生态文明建设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新时代高等艺术院校党建与思政教育协同创新策略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数字化改革背景下社会美育平台建设研究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标准化国家艺术类教育招生考试改革研究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中国美术学院节约型校园创建研究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高等艺术院校社会服务成果转化机制研究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一流大学后勤服务育人实践研究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世界一流博物馆建设中的藏品管理研究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美术基础核心素养的教育机制研究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低碳校园建设科艺融合策略研究与实践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新时代高校国际智库网络建设研究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学院社区实验室群的构建模式研究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C8CD3F"/>
    <w:multiLevelType w:val="singleLevel"/>
    <w:tmpl w:val="47C8CD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95CC2"/>
    <w:rsid w:val="320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2022-05-05T02:54:00Z</dcterms:created>
  <dc:creator>没有齐刘海的小丸子</dc:creator>
  <cp:lastModifiedBy>没有齐刘海的小丸子</cp:lastModifiedBy>
  <dcterms:modified xsi:type="dcterms:W3CDTF">2022-05-05T03:07:19Z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2BA5E851447E4988A5A007CAF67D372B</vt:lpwstr>
  </property>
</Properties>
</file>