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2024年度校级重大招标课题指南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中国美术学院资产全流程管理研究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教育评价改革背景下世界一流美术学院管理效能提升研究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新目录调整下艺术学学科发展策略研究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新目录调整下设计学学科发展策略研究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5.中国美术学院研究机构改革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综合提升中国美术学院戏剧与影视学学科体系建设的研究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马克思主义文艺思想研究和教学高地建设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艺术院系助力乡村振兴的党建引领机制研究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新时代“五育并举”视阈下艺术高校劳动育人体系的构建研究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10.中国美术学院造型艺术研究与教学中心项目课题研究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WY4ZmUxMWQyNGNkZWZjMTU1OGEyMTNiNjNlODkifQ=="/>
  </w:docVars>
  <w:rsids>
    <w:rsidRoot w:val="57010448"/>
    <w:rsid w:val="570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2024-07-05T02:51:00Z</dcterms:created>
  <dc:creator>WPS_1550981354</dc:creator>
  <cp:lastModifiedBy>WPS_1550981354</cp:lastModifiedBy>
  <dcterms:modified xsi:type="dcterms:W3CDTF">2024-07-05T02:55:54Z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4D6D75279CFE4FC0B723521012EF5605_11</vt:lpwstr>
  </property>
</Properties>
</file>